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Consultant agreement checklist</w:t>
      </w:r>
    </w:p>
    <w:p>
      <w:r>
        <w:t xml:space="preserve">Organization: [ORGANIZATION NAME]</w:t>
      </w:r>
    </w:p>
    <w:p>
      <w:r>
        <w:t xml:space="preserve">Consultant: [NAME OR BUSINESS NAME]</w:t>
      </w:r>
    </w:p>
    <w:p>
      <w:r>
        <w:t xml:space="preserve">Project: [PROJECT NAME]</w:t>
      </w:r>
    </w:p>
    <w:p>
      <w:r>
        <w:t xml:space="preserve">Reviewed by: [NAME AND ROLE] Date: [DATE]</w:t>
      </w:r>
    </w:p>
    <w:p>
      <w:r>
        <w:t xml:space="preserve">Lawyer review: [NAME AND DATE, OR "NOT NEEDED BECAUSE..."]</w:t>
      </w:r>
    </w:p>
    <w:p>
      <w:pPr>
        <w:pStyle w:val="Heading1"/>
      </w:pPr>
      <w:r>
        <w:t xml:space="preserve">1. The parties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Full legal names and addresses of the charity and the consultant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Who signs for each side, and that they have authority to sign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consultant's business status (individual, company or partnership)</w:t>
      </w:r>
    </w:p>
    <w:p>
      <w:pPr>
        <w:pStyle w:val="Heading1"/>
      </w:pPr>
      <w:r>
        <w:t xml:space="preserve">2. Scope and deliverables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goal and the deliverables, or the scope of work attached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What is not included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What the charity will provide, such as documents, access and a contact person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Who will do the work, and whether the consultant may subcontract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changes to the scope are agreed (in writing, with any extra cost)</w:t>
      </w:r>
    </w:p>
    <w:p>
      <w:pPr>
        <w:pStyle w:val="Heading1"/>
      </w:pPr>
      <w:r>
        <w:t xml:space="preserve">3. Schedule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Start date, milestones and end date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What happens if a deadline is missed on either side</w:t>
      </w:r>
    </w:p>
    <w:p>
      <w:pPr>
        <w:pStyle w:val="Heading1"/>
      </w:pPr>
      <w:r>
        <w:t xml:space="preserve">4. Fees and expenses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fee: fixed, hourly or daily, with a cap if hourly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Payment schedule tied to deliverables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Which expenses are reimbursed, with receipts, and any limit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Invoice and payment terms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No fee based on a percentage of funds raised, unless a lawyer has advised on it</w:t>
      </w:r>
    </w:p>
    <w:p>
      <w:pPr>
        <w:pStyle w:val="Heading1"/>
      </w:pPr>
      <w:r>
        <w:t xml:space="preserve">5. Independent contractor status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 is an independent contractor, not an employee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 controls how the work is done and provides their own tools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 is responsible for their own taxes, and will provide Form W-9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We will issue Form 1099-NEC if payments reach the IRS threshold for the year</w:t>
      </w:r>
    </w:p>
    <w:p>
      <w:pPr>
        <w:pStyle w:val="Heading1"/>
      </w:pPr>
      <w:r>
        <w:t xml:space="preserve">6. Ownership of the work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Who owns the work product, such as reports, designs, code, photos and data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 written assignment of copyright to the charity, signed by the consultant, or a clear license that lets us use, change and share the work as we need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What the consultant may reuse, such as their own general tools and templates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Whether the consultant may mention the project in their portfolio</w:t>
      </w:r>
    </w:p>
    <w:p>
      <w:pPr>
        <w:pStyle w:val="Heading1"/>
      </w:pPr>
      <w:r>
        <w:t xml:space="preserve">7. Confidentiality and data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 keeps our information confidential, during and after the project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What personal data the consultant will see, such as donors, clients or staff, and how they will protect it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Return or deletion of our data and files at the end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Any privacy or data rules that apply to us, passed on to the consultant</w:t>
      </w:r>
    </w:p>
    <w:p>
      <w:pPr>
        <w:pStyle w:val="Heading1"/>
      </w:pPr>
      <w:r>
        <w:t xml:space="preserve">8. Conduct and compliance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 follows our safeguarding, harassment and conflict of interest policies where relevant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consultant follows applicable laws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For fundraising consultants: state registration confirmed, and any contract filing the state requires</w:t>
      </w:r>
    </w:p>
    <w:p>
      <w:pPr>
        <w:pStyle w:val="Heading1"/>
      </w:pPr>
      <w:r>
        <w:t xml:space="preserve">9. Insurance and liability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Insurance the consultant must carry, such as professional or general liability, with proof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Who is responsible if something goes wrong (indemnity), reviewed by a lawyer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Any limit on the consultant's liability, and whether it is reasonable</w:t>
      </w:r>
    </w:p>
    <w:p>
      <w:pPr>
        <w:pStyle w:val="Heading1"/>
      </w:pPr>
      <w:r>
        <w:t xml:space="preserve">10. Ending the agreement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either side can end it, and with how much notice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Payment for work done up to the end date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Handover of work in progress, files and passwords</w:t>
      </w:r>
    </w:p>
    <w:p>
      <w:pPr>
        <w:pStyle w:val="Heading1"/>
      </w:pPr>
      <w:r>
        <w:t xml:space="preserve">11. Disputes and the fine print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How disagreements will be handled, such as a meeting first, then mediation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Which state's law applies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The agreement is the whole agreement, and changes must be in writing and signed</w:t>
      </w:r>
    </w:p>
    <w:p>
      <w:pPr>
        <w:pStyle w:val="Heading1"/>
      </w:pPr>
      <w:r>
        <w:t xml:space="preserve">Approval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Approved by [THE DIRECTOR OR THE BOARD], within our spending authority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Recorded in the board minutes if the board approved it, or if the consultant has a conflict of interest</w:t>
      </w:r>
    </w:p>
    <w:p>
      <w:r>
        <w:t xml:space="preserve">Signed agreement filed at: [LOCATION]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Consultant agreement checklist</dc:title>
  <dc:creator>Golden Hint</dc:creator>
  <dc:language>en-US</dc:language>
</cp:coreProperties>
</file>